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E" w:rsidRPr="00160B2E" w:rsidRDefault="00382BC8" w:rsidP="00160B2E">
      <w:pPr>
        <w:shd w:val="clear" w:color="auto" w:fill="FFFFFF"/>
        <w:spacing w:after="0" w:line="270" w:lineRule="atLeast"/>
        <w:ind w:left="150" w:right="150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60B2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fldChar w:fldCharType="begin"/>
      </w:r>
      <w:r w:rsidR="00160B2E" w:rsidRPr="00160B2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instrText xml:space="preserve"> HYPERLINK "http://bizlana.ru/biznes-plany/proizvodstvo-kombikormov/" \o "Бизнес-план: Производство комбикормов" </w:instrText>
      </w:r>
      <w:r w:rsidRPr="00160B2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fldChar w:fldCharType="separate"/>
      </w:r>
      <w:r w:rsidR="00160B2E" w:rsidRPr="00160B2E">
        <w:rPr>
          <w:rFonts w:ascii="Arial" w:eastAsia="Times New Roman" w:hAnsi="Arial" w:cs="Arial"/>
          <w:b/>
          <w:bCs/>
          <w:caps/>
          <w:color w:val="336699"/>
          <w:sz w:val="24"/>
          <w:lang w:eastAsia="ru-RU"/>
        </w:rPr>
        <w:t>БИЗНЕС-ПЛАН: ПРОИЗВОДСТВО КОМБИКОРМОВ</w:t>
      </w:r>
      <w:r w:rsidRPr="00160B2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fldChar w:fldCharType="end"/>
      </w:r>
    </w:p>
    <w:p w:rsidR="00160B2E" w:rsidRPr="00160B2E" w:rsidRDefault="00160B2E" w:rsidP="0016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2E" w:rsidRPr="00160B2E" w:rsidRDefault="00160B2E" w:rsidP="00160B2E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0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РЕЗЮМЕ ПРОЕКТА</w:t>
      </w:r>
    </w:p>
    <w:p w:rsidR="00160B2E" w:rsidRPr="00160B2E" w:rsidRDefault="00160B2E" w:rsidP="00160B2E">
      <w:pPr>
        <w:spacing w:after="75" w:line="312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60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60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801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8"/>
        <w:gridCol w:w="392"/>
        <w:gridCol w:w="894"/>
        <w:gridCol w:w="1546"/>
        <w:gridCol w:w="165"/>
        <w:gridCol w:w="856"/>
        <w:gridCol w:w="2039"/>
      </w:tblGrid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1.1. Организация-заявитель</w:t>
            </w: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свиноводческий комплекс «</w:t>
            </w:r>
            <w:proofErr w:type="spell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Силаевский</w:t>
            </w:r>
            <w:proofErr w:type="spell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(ЗАО СК «</w:t>
            </w:r>
            <w:proofErr w:type="spell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Силаевский</w:t>
            </w:r>
            <w:proofErr w:type="spell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Россия, Павловский район, п. </w:t>
            </w:r>
            <w:proofErr w:type="spell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Силаевский</w:t>
            </w:r>
            <w:proofErr w:type="spell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телефоны: (8 111) 111-11, 22-222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Счет 2222222222 </w:t>
            </w:r>
            <w:proofErr w:type="gram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к/б «</w:t>
            </w:r>
            <w:proofErr w:type="spell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Бирское</w:t>
            </w:r>
            <w:proofErr w:type="spell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ОВК» ОАО г. Лаев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корр. счет 33333333333333 БИК 4444444 ИНН 55555555555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1.2. Руководитель организации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 Александр Иванович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Директор ЗАО СК «</w:t>
            </w:r>
            <w:proofErr w:type="spell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Силаевский</w:t>
            </w:r>
            <w:proofErr w:type="spell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1.3. Суть проекта</w:t>
            </w: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Проект предполагает реконструкцию здания под производственный цех для производства комбикормов, закупку и монтаж оборудования производства, а также последующую эксплуатацию комбикормового завода мощностью 17 тыс. тонн в год. Проект реализуется с привлечением заемных средств. В данном проекте в течение первых 3-х лет рассмотрено производство комбикормов только для свиней всех категорий, исходя из рациона кормления. В качестве сырья для производства будут использоваться зерновые культуры местных </w:t>
            </w:r>
            <w:proofErr w:type="spell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сельхозтоваропроизводителей</w:t>
            </w:r>
            <w:proofErr w:type="spell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а также с добавлением импортных белково-витаминных минеральных добавок (БВМД). На второй год планируется строительство хранилища для сырья (зерна) вместимостью до 17 тыс. тонн.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1.4. Форма участия государства в финансовом обеспечении проекта</w:t>
            </w: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Финансирование за счет средств фонда федеральной программы социально-экономического развития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1.5. Финансирование проекта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Источники средств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Уд. Вес </w:t>
            </w:r>
            <w:proofErr w:type="gram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% к итого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Собственные средства организации-заявителя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Заемные средства —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Отечественные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6 296 196,2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1.6. Характер строительства</w:t>
            </w:r>
          </w:p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numPr>
                <w:ilvl w:val="0"/>
                <w:numId w:val="1"/>
              </w:num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Реконструкция здания (производственного цеха)</w:t>
            </w:r>
          </w:p>
          <w:p w:rsidR="00160B2E" w:rsidRPr="00160B2E" w:rsidRDefault="00160B2E" w:rsidP="00160B2E">
            <w:pPr>
              <w:numPr>
                <w:ilvl w:val="0"/>
                <w:numId w:val="1"/>
              </w:num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Приобретение, доставка и монтаж оборудования</w:t>
            </w:r>
          </w:p>
          <w:p w:rsidR="00160B2E" w:rsidRPr="00160B2E" w:rsidRDefault="00160B2E" w:rsidP="00160B2E">
            <w:pPr>
              <w:numPr>
                <w:ilvl w:val="0"/>
                <w:numId w:val="1"/>
              </w:num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Строительство на второй год хранилища для зерна (на объем 17 тыс. </w:t>
            </w:r>
            <w:proofErr w:type="spell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зерна)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1.7. Сметная стоимость проекта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6 766 196,2 руб.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1.8.Сроки реализации проекта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Январь 2002 – март 2006 гг.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1.9. Кем и когда разработано обоснование инвестиций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Информационно-консультационным центром сельских товаропроизводителей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1.10. Наличие заключений вневедомственной и экологической экспертизы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экологическая экспертиза будет проведена при разработке проектной документации</w:t>
            </w:r>
          </w:p>
        </w:tc>
      </w:tr>
      <w:tr w:rsidR="00160B2E" w:rsidRPr="00160B2E" w:rsidTr="00F40991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1.11. Заявление о коммерческой тайне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B2E" w:rsidRPr="00160B2E" w:rsidRDefault="00160B2E" w:rsidP="00160B2E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Вся информация, содержащаяся в бизнес-плане, может обнародоваться исключительно с согласия ЗАО СК «</w:t>
            </w:r>
            <w:proofErr w:type="spellStart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Силаевский</w:t>
            </w:r>
            <w:proofErr w:type="spellEnd"/>
            <w:r w:rsidRPr="00160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</w:tbl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ВВОДНАЯ ЧАСТЬ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Основной замысел проекта состоит в использовании достаточно благоприятной рыночной конъюнктуры, а также потенциала работников создаваемого предприятия.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 позволяет: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производить до 17 тысяч тонн комбикормов ежегодно для отраслей птицеводства, свиноводства и скотоводства. Реализация проекта по графику занимает 4 года. На полную проектную мощность предприятие перейдет во втором году, т. е. будет запущена 2-ая смена. Согласно проекту в первые 4 года предполагается производство комбикормов только для отрасли свиноводства с целью использования продукции в собственном производстве, а также для реализации сторонним организациям и частным лицам;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минимизировать за счет использования передовых зарубежных технологий и оборудования затраты ресурсов на производство комбикормов;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обеспечить гибкое реагирование на запросы рынка и собственной отрасли животноводства путем изменения рецептуры и производства необходимого в конкретные периоды ассортимента комбикормов;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обеспечить экологическую безопасность производства за счет прогрессивных технологических решений;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гарантировать возвратность средств, вложенных в проект, в течение 4-х лет и их окупаемость в течение 3 лет с момента начала эксплуатации комбикормового завода.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связи с выходом на полную мощность во втором году проекта, а также в связи с сезонным характером реализации сырья (зерновых культур) хозяйствами республики у предприятия должно быть обеспечено бесперебойное производство за счет создания необходимого количества запасов сырья, исходя из ежегодной потребности во всех видах зерновых культур для каждого вида продукции.</w:t>
      </w:r>
      <w:proofErr w:type="gram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этого требуется во втором году строительство хранилища вместимостью до 17 тыс. тонн.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Создание собственной сырьевой базы должно обеспечить экономию затрат для свиноводства, повышение качества животноводческой продукции, что в свою очередь является гарантом качества перерабатывающих мясных предприятий. Комбикормовый завод станет дополнительным рынком сбыта для продукции растениеводства хозяйств соседних районов (в частности зерновых культур, в перспективе – кормовых культур). Производство высококачественных кормов будет стимулировать увеличение племенного поголовья животных в хозяйствах районов республики.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ОБЩАЯ ИНФОРМАЦИЯ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 Сведения о предприятии и о проекте.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Закрытое акционерное общество «Свиноводческий комплекс «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Силаевский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зарегистрировано Постановлением Администрации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Тарбагатайского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 № 172 от 07 июня 1999 года. Свидетельство о регистрации № 339 от 07 июня 1999 года.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Учредителями общества являются:</w:t>
      </w:r>
    </w:p>
    <w:p w:rsidR="00F40991" w:rsidRPr="00F40991" w:rsidRDefault="00F40991" w:rsidP="00F40991">
      <w:pPr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 с ограниченной ответственностью «БИН» – доля собственности 51 акция;</w:t>
      </w:r>
    </w:p>
    <w:p w:rsidR="00F40991" w:rsidRPr="00F40991" w:rsidRDefault="00F40991" w:rsidP="00F40991">
      <w:pPr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Муниципальное унитарное предприятие «Сельскохозяйственный комплекс «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Тарбагатайский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– доля собственности 49 акций;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Уставный капитал – 1 000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000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рублей (один миллион рублей).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Сфера деятельности: сельское хозяйство, отраслевая принадлежность: свиноводство.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Данные баланса за 2001 год на момент реализации проекта в 2002 году подсчитываются. По его завершению баланс будет прилагаться к настоящему бизнес-плану.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1 июля 1999 года по данным Госкомстата в крупных и средних хозяйствах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Тарбагатайского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 насчитывалось 1 191 гол. свиней — доля ЗАО СК «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Силаевский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составила 33%, в Прибайкальском районе – 6 170 гол</w:t>
      </w:r>
      <w:proofErr w:type="gram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., </w:t>
      </w:r>
      <w:proofErr w:type="gram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Кяхтинском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районе – 6 517 гол., в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Мухоршибирском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районе – 2 534 гол.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Основными потребителями продукции ЗАО СК «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Силаевский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являются жители города, мясокомбинат города, организации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Тарбагатайского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 и города.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конце 2001 года специалисты ЗАО СК «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Силаевский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провели исследования рынка оборудования для комбикормового производства, как отечественного, так и зарубежного, и пришли к варианту внедрения технологий, предлагаемых немецкой фирмой «AWILA».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Цель проекта: добиться за счёт внедрения немецкой технологии и использования современной техники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низкозатратного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высококачественного производства комбикормов.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Преимущества новой техники и технологии:</w:t>
      </w:r>
    </w:p>
    <w:p w:rsidR="00F40991" w:rsidRPr="00F40991" w:rsidRDefault="00F40991" w:rsidP="00F40991">
      <w:pPr>
        <w:numPr>
          <w:ilvl w:val="0"/>
          <w:numId w:val="3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низкие трудозатраты за счет автоматизации производства;</w:t>
      </w:r>
    </w:p>
    <w:p w:rsidR="00F40991" w:rsidRPr="00F40991" w:rsidRDefault="00F40991" w:rsidP="00F40991">
      <w:pPr>
        <w:numPr>
          <w:ilvl w:val="0"/>
          <w:numId w:val="3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низкие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энергозатраты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F40991" w:rsidRPr="00F40991" w:rsidRDefault="00F40991" w:rsidP="00F40991">
      <w:pPr>
        <w:numPr>
          <w:ilvl w:val="0"/>
          <w:numId w:val="3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наименьшие потери при дроблении зерна;</w:t>
      </w:r>
    </w:p>
    <w:p w:rsidR="00F40991" w:rsidRPr="00F40991" w:rsidRDefault="00F40991" w:rsidP="00F40991">
      <w:pPr>
        <w:numPr>
          <w:ilvl w:val="0"/>
          <w:numId w:val="3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максимальная точность дозирования рецептуры каждого вида комбикорма;</w:t>
      </w:r>
    </w:p>
    <w:p w:rsidR="00F40991" w:rsidRPr="00F40991" w:rsidRDefault="00F40991" w:rsidP="00F40991">
      <w:pPr>
        <w:numPr>
          <w:ilvl w:val="0"/>
          <w:numId w:val="3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быстрота и качество выполнения операций;</w:t>
      </w:r>
    </w:p>
    <w:p w:rsidR="00F40991" w:rsidRPr="00F40991" w:rsidRDefault="00F40991" w:rsidP="00F40991">
      <w:pPr>
        <w:numPr>
          <w:ilvl w:val="0"/>
          <w:numId w:val="3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перспективы сотрудничества с фирмой-поставщиком для модернизации производства;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Недостатки используемой технологии:</w:t>
      </w:r>
    </w:p>
    <w:p w:rsidR="00F40991" w:rsidRPr="00F40991" w:rsidRDefault="00F40991" w:rsidP="00F40991">
      <w:pPr>
        <w:numPr>
          <w:ilvl w:val="0"/>
          <w:numId w:val="4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высокая стоимость оборудования, транспортировки и монтажа;</w:t>
      </w:r>
    </w:p>
    <w:p w:rsidR="00F40991" w:rsidRPr="00F40991" w:rsidRDefault="00F40991" w:rsidP="00F40991">
      <w:pPr>
        <w:numPr>
          <w:ilvl w:val="0"/>
          <w:numId w:val="4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большое здание для производственного цеха;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3.2. Характеристика продукции и сырья.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Комбикормовый завод по проекту должен производить следующие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виды</w:t>
      </w:r>
      <w:hyperlink r:id="rId5" w:tgtFrame="_blank" w:history="1">
        <w:r w:rsidRPr="00F40991">
          <w:rPr>
            <w:rFonts w:ascii="Verdana" w:eastAsia="Times New Roman" w:hAnsi="Verdana" w:cs="Times New Roman"/>
            <w:color w:val="336699"/>
            <w:sz w:val="18"/>
            <w:lang w:eastAsia="ru-RU"/>
          </w:rPr>
          <w:t>комбикормов</w:t>
        </w:r>
        <w:proofErr w:type="spellEnd"/>
      </w:hyperlink>
      <w:r w:rsidRPr="00F4099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свиней согласно возрастным категориям:</w:t>
      </w:r>
    </w:p>
    <w:p w:rsidR="00F40991" w:rsidRPr="00F40991" w:rsidRDefault="00F40991" w:rsidP="00F40991">
      <w:pPr>
        <w:numPr>
          <w:ilvl w:val="0"/>
          <w:numId w:val="5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поросят сосунов (до 2 мес.)</w:t>
      </w:r>
    </w:p>
    <w:p w:rsidR="00F40991" w:rsidRPr="00F40991" w:rsidRDefault="00F40991" w:rsidP="00F40991">
      <w:pPr>
        <w:numPr>
          <w:ilvl w:val="0"/>
          <w:numId w:val="5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поросят на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доращивании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(2-4 мес.)</w:t>
      </w:r>
    </w:p>
    <w:p w:rsidR="00F40991" w:rsidRPr="00F40991" w:rsidRDefault="00F40991" w:rsidP="00F40991">
      <w:pPr>
        <w:numPr>
          <w:ilvl w:val="0"/>
          <w:numId w:val="5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поросят на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доращивании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(4-6 мес.)</w:t>
      </w:r>
    </w:p>
    <w:p w:rsidR="00F40991" w:rsidRPr="00F40991" w:rsidRDefault="00F40991" w:rsidP="00F40991">
      <w:pPr>
        <w:numPr>
          <w:ilvl w:val="0"/>
          <w:numId w:val="5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Свиней на откорме (св. 6 мес.)</w:t>
      </w:r>
    </w:p>
    <w:p w:rsidR="00F40991" w:rsidRPr="00F40991" w:rsidRDefault="00F40991" w:rsidP="00F40991">
      <w:pPr>
        <w:numPr>
          <w:ilvl w:val="0"/>
          <w:numId w:val="5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супоросных свиноматок и хряков</w:t>
      </w:r>
    </w:p>
    <w:p w:rsidR="00F40991" w:rsidRPr="00F40991" w:rsidRDefault="00F40991" w:rsidP="00F40991">
      <w:pPr>
        <w:numPr>
          <w:ilvl w:val="0"/>
          <w:numId w:val="5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подсосных свиноматок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Сырье, необходимое для производства каждого вида комбикорма рассчитывается исходя из его рецептуры.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комбикорма для каждой категории свиней добавляются определенные белково-витаминные минеральные добавки (БВМД) (см. табл. 3.2.1):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Характеристика белково-витаминных минеральных добавок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3.2.1.</w:t>
      </w:r>
    </w:p>
    <w:p w:rsidR="00F40991" w:rsidRPr="00F40991" w:rsidRDefault="00F40991" w:rsidP="00F4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6"/>
        <w:gridCol w:w="92"/>
        <w:gridCol w:w="1352"/>
        <w:gridCol w:w="1076"/>
        <w:gridCol w:w="984"/>
        <w:gridCol w:w="1168"/>
        <w:gridCol w:w="707"/>
        <w:gridCol w:w="2290"/>
      </w:tblGrid>
      <w:tr w:rsidR="00F40991" w:rsidRPr="00F40991" w:rsidTr="00F40991">
        <w:trPr>
          <w:tblCellSpacing w:w="0" w:type="dxa"/>
        </w:trPr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Супер</w:t>
            </w:r>
            <w:proofErr w:type="spellEnd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Престартер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Стартер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Гроуер</w:t>
            </w:r>
            <w:proofErr w:type="spellEnd"/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Финишер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9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Содержание питательных веществ в 1 кг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энергия,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3 300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2 540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2 510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2 230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2 450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Сыр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ротеины, г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Сыр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иры, г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Сыр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летчатка, г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Зола,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Лизин,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Метионин + </w:t>
            </w:r>
            <w:proofErr w:type="spell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Цистин</w:t>
            </w:r>
            <w:proofErr w:type="spellEnd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г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Кальций,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Фосфор,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Натрий,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9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Прочие характеристики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Упаковка, </w:t>
            </w:r>
            <w:proofErr w:type="gramStart"/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40991" w:rsidRPr="00F40991" w:rsidTr="00F40991">
        <w:trPr>
          <w:tblCellSpacing w:w="0" w:type="dxa"/>
        </w:trPr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Срок хранения, мес.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91" w:rsidRPr="00F40991" w:rsidRDefault="00F40991" w:rsidP="00F409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09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СуперПрестартер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(код 6194 и 6088) предназначен для подготовки организма животного для усвоения питательных веществ концентрированных кормов и укрепления организма. Применяется с 3-4 дня жизни и до возраста 26-28 дней. Этот корм сбалансирован таким образом, что максимальную отдачу он дает с материнским молоком. Затем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суперпрестартер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плавно заменяется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суперпрестартером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(код 6088) с 27-31 день. Благодаря сбалансированности «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Суперпрестартера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улучшаются показатели перевариваемости, поросенок достигает живой массы 7,5 – 8 кг в 30 дней. Кроме того, применение корма повышает сохранность на 10%. С 40 дня начинают добавлять комбикорм «Стартер».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Стартер необходим для полноценного усвоения питательных веществ концентрированных и других кормов. С 45-го дня поросята полностью переходят на</w:t>
      </w:r>
      <w:r w:rsidRPr="00F4099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6" w:tgtFrame="_blank" w:history="1">
        <w:r w:rsidRPr="00F40991">
          <w:rPr>
            <w:rFonts w:ascii="Verdana" w:eastAsia="Times New Roman" w:hAnsi="Verdana" w:cs="Times New Roman"/>
            <w:color w:val="336699"/>
            <w:sz w:val="18"/>
            <w:lang w:eastAsia="ru-RU"/>
          </w:rPr>
          <w:t>комбикорм</w:t>
        </w:r>
      </w:hyperlink>
      <w:r w:rsidRPr="00F4099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 «Стартером»-20%. Привес составляет 400 гр. В сутки. При таком привесе поросята достигают веса в 27 кг к 85 дням. С 85 дня комбикорм со «Стартером»-20% в течение 3-х дней заменяется комбикормом с «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Гроуером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– 15% в пропорции от 30 до 100%.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Гроуер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используется с целью наилучшего усвоения всех питательных веще</w:t>
      </w:r>
      <w:proofErr w:type="gram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ств дл</w:t>
      </w:r>
      <w:proofErr w:type="gram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развития организма и прироста живой массы до 50 кг. Суточный привес составляет 550 гр. Со 128 дня корм в течение 2-х дней меняется на «Финишер»-10%.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Финишер способствует активному усвоению питательных веществ концентрированных кормов и увеличению прироста живой массы. При привесе 750гр/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сут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подсвинок достигает живой массы 110 кг в 210 дней.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СБ</w:t>
      </w:r>
      <w:proofErr w:type="gram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(для супоросных маток) предназначен для полноценного развития плода в утробе матери.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 применяется для повышения качества и количества молока свиноматок в подсосный период и помогает матке выдержать период лактации с наименьшими для себя потерями в живой массе.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Производителем БВМД является голландская фирма «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Провими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работающая на мировом рынке уже 50 лет. На российском рынке фирма начала работать в 1994 году с бройлерными птицефабриками. В настоящее время с фирмой «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Провими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сотрудничают практически самые крупные и устойчивые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свинокомплексы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России.</w:t>
      </w:r>
    </w:p>
    <w:p w:rsidR="00F40991" w:rsidRPr="00F40991" w:rsidRDefault="00F40991" w:rsidP="00F4099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Поставщиками основных составляющих комбикормов (пшеница, ячмень, овес) будут являться хозяйства республики. Шрот будет поставляться от «Иркутского </w:t>
      </w:r>
      <w:proofErr w:type="spellStart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масложирокомбината</w:t>
      </w:r>
      <w:proofErr w:type="spellEnd"/>
      <w:r w:rsidRPr="00F409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г. Иркутска.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3.3. Анализ окружающей среды.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Производство комбикормов в регионе за последние годы испытывает значительные трудности из-за сокращения поголовья скота и распада животноводческих ферм. В результате рынок комбикормов в значительной степени ориентирован на продукцию, завозимую из других регионов (Омской области, Алтайского края и других), в том числе и тех продуктов, которые с успехом могли бы производиться непосредственно здесь.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настоящее время намечается увеличение поголовья скота всех категорий, возрождение племенного животноводства, поэтому создание комбикормового завода является актуальным. Производство комбикормов по указанной технологии и с использованием современного импортного оборудования позволит:</w:t>
      </w:r>
    </w:p>
    <w:p w:rsidR="00AA1941" w:rsidRPr="00AA1941" w:rsidRDefault="00AA1941" w:rsidP="00AA1941">
      <w:pPr>
        <w:numPr>
          <w:ilvl w:val="0"/>
          <w:numId w:val="6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Производить качественную продукцию разных рецептур и для разных отраслей животноводства</w:t>
      </w:r>
    </w:p>
    <w:p w:rsidR="00AA1941" w:rsidRPr="00AA1941" w:rsidRDefault="00AA1941" w:rsidP="00AA1941">
      <w:pPr>
        <w:numPr>
          <w:ilvl w:val="0"/>
          <w:numId w:val="6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Производить комбикорма по рецептурам заказчиков</w:t>
      </w:r>
    </w:p>
    <w:p w:rsidR="00AA1941" w:rsidRPr="00AA1941" w:rsidRDefault="00AA1941" w:rsidP="00AA1941">
      <w:pPr>
        <w:numPr>
          <w:ilvl w:val="0"/>
          <w:numId w:val="6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Выпускать комбикорма полностью </w:t>
      </w:r>
      <w:proofErr w:type="gram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сбалансированных</w:t>
      </w:r>
      <w:proofErr w:type="gram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микроэлементам и витаминам и способных на максимальную конверсию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3.4. Анализ конечных потребителей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Потребителей продукции ЗАО СК «</w:t>
      </w:r>
      <w:proofErr w:type="spell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Силаевский</w:t>
      </w:r>
      <w:proofErr w:type="spell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можно классифицировать следующим образом:</w:t>
      </w:r>
    </w:p>
    <w:p w:rsidR="00AA1941" w:rsidRPr="00AA1941" w:rsidRDefault="00AA1941" w:rsidP="00AA1941">
      <w:pPr>
        <w:numPr>
          <w:ilvl w:val="0"/>
          <w:numId w:val="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Юридический критерий:</w:t>
      </w:r>
    </w:p>
    <w:p w:rsidR="00AA1941" w:rsidRPr="00AA1941" w:rsidRDefault="00AA1941" w:rsidP="00AA1941">
      <w:pPr>
        <w:numPr>
          <w:ilvl w:val="0"/>
          <w:numId w:val="8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Юридические и физические лица (хозяйства и частные фермеры) всех форм собственности и организационно-правовых форм</w:t>
      </w:r>
    </w:p>
    <w:p w:rsidR="00AA1941" w:rsidRPr="00AA1941" w:rsidRDefault="00AA1941" w:rsidP="00AA1941">
      <w:pPr>
        <w:numPr>
          <w:ilvl w:val="0"/>
          <w:numId w:val="9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Отраслевой критерий: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хозяйства и частные фермеры, занимающиеся животноводством;</w:t>
      </w:r>
    </w:p>
    <w:p w:rsidR="00AA1941" w:rsidRPr="00AA1941" w:rsidRDefault="00AA1941" w:rsidP="00AA1941">
      <w:pPr>
        <w:numPr>
          <w:ilvl w:val="0"/>
          <w:numId w:val="10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Географический критерий:</w:t>
      </w:r>
    </w:p>
    <w:p w:rsidR="00AA1941" w:rsidRPr="00AA1941" w:rsidRDefault="00AA1941" w:rsidP="00AA1941">
      <w:pPr>
        <w:numPr>
          <w:ilvl w:val="0"/>
          <w:numId w:val="11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Хозяйства и частные фермеры </w:t>
      </w:r>
      <w:proofErr w:type="spell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Тарбагатайского</w:t>
      </w:r>
      <w:proofErr w:type="spell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 и других районов республики;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3.5. Анализ конкурентов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Производством комбикормов в республике занимаются ОАО «</w:t>
      </w:r>
      <w:proofErr w:type="spell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Заудинский</w:t>
      </w:r>
      <w:proofErr w:type="spell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мелькомбинат» и ОАО «Городская птицефабрика». Недостатками конкуренции можно назвать такие факторы, что: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мелькомбинат производит комбикорма по заказам, цены на комбикорма высокие из-за высокой себестоимости;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птицефабрика специализируется на производстве комбикормов для птицеводства и использует продукцию на собственные нужды;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реализацией комбикормов, производимых в других регионах, занимаются оптовые центры, объемы их поставок не большие, высокий риск нарушения договоров поставок, большие транспортные расходы.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Преимущество проекта заключается в том, что собственное производство является гарантом качества производимой продукции. В свою очередь от качества комбикормов зависит устойчивость продуктивности животноводческой отрасли как для СК «</w:t>
      </w:r>
      <w:proofErr w:type="spell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Силаевский</w:t>
      </w:r>
      <w:proofErr w:type="spell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так и для республики в целом.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Маркетинговые мероприятия и исследования, проводимые ЗАО СК «</w:t>
      </w:r>
      <w:proofErr w:type="spell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Силаевский</w:t>
      </w:r>
      <w:proofErr w:type="spell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направлены </w:t>
      </w:r>
      <w:proofErr w:type="gram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AA1941" w:rsidRPr="00AA1941" w:rsidRDefault="00AA1941" w:rsidP="00AA1941">
      <w:pPr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Планирование производства и сбыта продукции на основе спроса покупателей и ситуации на рынке зерна</w:t>
      </w:r>
    </w:p>
    <w:p w:rsidR="00AA1941" w:rsidRPr="00AA1941" w:rsidRDefault="00AA1941" w:rsidP="00AA1941">
      <w:pPr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Заключение в начале года договоров с потребителями продукции и поставщиками сырья</w:t>
      </w:r>
    </w:p>
    <w:p w:rsidR="00AA1941" w:rsidRPr="00AA1941" w:rsidRDefault="00AA1941" w:rsidP="00AA1941">
      <w:pPr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Сбор информации о конкурентах (цены, рынки сбыта и т.п.)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Основными внешними факторами, влияющими на реализацию проекта и его результаты, являются: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1941" w:rsidRPr="00AA1941" w:rsidRDefault="00AA1941" w:rsidP="00AA1941">
      <w:pPr>
        <w:numPr>
          <w:ilvl w:val="0"/>
          <w:numId w:val="13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Ставка рефинансирования Центрального банка (в проекте заложено 23% </w:t>
      </w:r>
      <w:proofErr w:type="gram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годовых</w:t>
      </w:r>
      <w:proofErr w:type="gram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которые не будут меняться в течение всего проекта). Ставка рефинансирования влияет на ставку фонда федеральной программы социально-экономического развития.</w:t>
      </w:r>
    </w:p>
    <w:p w:rsidR="00AA1941" w:rsidRPr="00AA1941" w:rsidRDefault="00AA1941" w:rsidP="00AA1941">
      <w:pPr>
        <w:numPr>
          <w:ilvl w:val="0"/>
          <w:numId w:val="13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Темпы роста (падения) курса евровалюты (в проекте предусмотрен курс 27,18 рублей за 1 Евро на дату подачи заявки). От курса данной валюты зависит стоимость поставляемого комплекса оборудования для производства комбикормов (инвестиционные затраты).</w:t>
      </w:r>
    </w:p>
    <w:p w:rsidR="00AA1941" w:rsidRPr="00AA1941" w:rsidRDefault="00AA1941" w:rsidP="00AA1941">
      <w:pPr>
        <w:numPr>
          <w:ilvl w:val="0"/>
          <w:numId w:val="13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Темпы инфляции. В проекте использованы индексы-дефляторы, разработанные Министерством экономики и внешних связей (</w:t>
      </w:r>
      <w:proofErr w:type="gram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табл. 3.3.1.):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Индексы-дефляторы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 данным Министерства экономики и внешних связей РБ)</w:t>
      </w: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3.3.1.</w:t>
      </w:r>
    </w:p>
    <w:p w:rsidR="00AA1941" w:rsidRPr="00AA1941" w:rsidRDefault="00AA1941" w:rsidP="00AA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1399"/>
        <w:gridCol w:w="1128"/>
        <w:gridCol w:w="1174"/>
        <w:gridCol w:w="1234"/>
      </w:tblGrid>
      <w:tr w:rsidR="00AA1941" w:rsidRPr="00AA1941" w:rsidTr="00AA1941">
        <w:trPr>
          <w:trHeight w:val="67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2002 г. к 2001 г.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2003 г. к 2002 г.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2004 г. к 2003 г.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2005 г. к 2004 г.</w:t>
            </w: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Промышленные товары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МБП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Тепло- и водоснабжение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Сельскохозяйственная продукция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Зерновые культуры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Прочие (соль, мел)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AA1941" w:rsidRPr="00AA1941" w:rsidTr="00AA1941">
        <w:trPr>
          <w:trHeight w:val="255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БВМД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</w:tr>
      <w:tr w:rsidR="00AA1941" w:rsidRPr="00AA1941" w:rsidTr="00AA1941">
        <w:trPr>
          <w:trHeight w:val="240"/>
          <w:tblCellSpacing w:w="0" w:type="dxa"/>
        </w:trPr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Готовая продукция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A1941" w:rsidRPr="00AA1941" w:rsidRDefault="00AA1941" w:rsidP="00AA194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19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</w:tbl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1941" w:rsidRPr="00AA1941" w:rsidRDefault="00AA1941" w:rsidP="00AA1941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Финансовый год по проекту установлен </w:t>
      </w:r>
      <w:proofErr w:type="gramStart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даты начала</w:t>
      </w:r>
      <w:proofErr w:type="gramEnd"/>
      <w:r w:rsidRPr="00AA19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проекта, т. е. с апреля 2002 года и заканчивается в марте 2006 года. Это связано с тем, что запуск производства планируется с 3-го квартала. Период январь—март 2002 года является подготовительным периодом. Финансовый год (апрель—март) – используется для отображения данных проекта; календарный год (январь—декабрь) – для корректировки на индексы-дефляторы.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ИНВЕСТИЦИОННЫЙ ПЛАН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Потребность в капитальных вложениях.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реализации проекта необходимо приобрести оборудование на сумму 3 871 592,5 рублей. Перечень оборудования, входящего в комплекс, его количество, стоимость в евро и рублях с учетом уплаты таможенной пошлины и НДС, приведен в проектно-сметной документации.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Необходимо также оплатить транспортные расходы по доставке оборудования в Москву, потом в городе и осуществить монтаж. Сумма этих расходов согласно проектно-сметной документации составляет 2 344 603,7 рублей.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втором году запланировано строительство хранилища для зерна, предварительная смета составила 550 000 рублей.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общая сумма инвестиций составляет 6 766 196,2 рублей (</w:t>
      </w:r>
      <w:proofErr w:type="gramStart"/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табл. 4.1.1.):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Потребность в капитальных вложениях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(согласно проектно-сметной документации)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4.1.1.</w:t>
      </w:r>
    </w:p>
    <w:p w:rsidR="00F71296" w:rsidRPr="00F71296" w:rsidRDefault="00F71296" w:rsidP="00F7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0"/>
        <w:gridCol w:w="1666"/>
        <w:gridCol w:w="1542"/>
        <w:gridCol w:w="1465"/>
        <w:gridCol w:w="1882"/>
      </w:tblGrid>
      <w:tr w:rsidR="00F71296" w:rsidRPr="00F71296" w:rsidTr="00F71296">
        <w:trPr>
          <w:tblCellSpacing w:w="0" w:type="dxa"/>
        </w:trPr>
        <w:tc>
          <w:tcPr>
            <w:tcW w:w="32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проектно-сметной документации</w:t>
            </w:r>
          </w:p>
        </w:tc>
        <w:tc>
          <w:tcPr>
            <w:tcW w:w="29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</w:tc>
        <w:tc>
          <w:tcPr>
            <w:tcW w:w="18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Подлежит </w:t>
            </w: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выполнению по проекту</w:t>
            </w:r>
          </w:p>
        </w:tc>
      </w:tr>
      <w:tr w:rsidR="00F71296" w:rsidRPr="00F71296" w:rsidTr="00F712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начало текущего года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момент подачи заявки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1296" w:rsidRPr="00F71296" w:rsidTr="00F71296">
        <w:trPr>
          <w:trHeight w:val="930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Капитальные вложения по утверждённому проекту, всего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6 766 196,2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6 296 196,2</w:t>
            </w:r>
          </w:p>
        </w:tc>
      </w:tr>
      <w:tr w:rsidR="00F71296" w:rsidRPr="00F71296" w:rsidTr="00F71296">
        <w:trPr>
          <w:trHeight w:val="180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1296" w:rsidRPr="00F71296" w:rsidTr="00F71296">
        <w:trPr>
          <w:trHeight w:val="690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Приобретение оборудования — всего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3 871 592,5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3 871 592,5</w:t>
            </w:r>
          </w:p>
        </w:tc>
      </w:tr>
      <w:tr w:rsidR="00F71296" w:rsidRPr="00F71296" w:rsidTr="00F71296">
        <w:trPr>
          <w:trHeight w:val="465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Транспортные расходы – всего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650 757,3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650 757,3</w:t>
            </w:r>
          </w:p>
        </w:tc>
      </w:tr>
      <w:tr w:rsidR="00F71296" w:rsidRPr="00F71296" w:rsidTr="00F71296">
        <w:trPr>
          <w:trHeight w:val="180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1296" w:rsidRPr="00F71296" w:rsidTr="00F71296">
        <w:trPr>
          <w:trHeight w:val="225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упаковка и погрузка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154 110,6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154 110,6</w:t>
            </w:r>
          </w:p>
        </w:tc>
      </w:tr>
      <w:tr w:rsidR="00F71296" w:rsidRPr="00F71296" w:rsidTr="00F71296">
        <w:trPr>
          <w:trHeight w:val="270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транспорт CIP склад в Москве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436 646,7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436 646,7</w:t>
            </w:r>
          </w:p>
        </w:tc>
      </w:tr>
      <w:tr w:rsidR="00F71296" w:rsidRPr="00F71296" w:rsidTr="00F71296">
        <w:trPr>
          <w:trHeight w:val="285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Доставка в город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F71296" w:rsidRPr="00F71296" w:rsidTr="00F71296">
        <w:trPr>
          <w:trHeight w:val="435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Монтаж и установка оборудования – всего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1 693 846,4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1 693 846,4</w:t>
            </w:r>
          </w:p>
        </w:tc>
      </w:tr>
      <w:tr w:rsidR="00F71296" w:rsidRPr="00F71296" w:rsidTr="00F71296">
        <w:trPr>
          <w:trHeight w:val="165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165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F71296" w:rsidRPr="00F71296" w:rsidTr="00F71296">
        <w:trPr>
          <w:trHeight w:val="435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надзор за </w:t>
            </w:r>
            <w:proofErr w:type="spellStart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монтажем</w:t>
            </w:r>
            <w:proofErr w:type="spellEnd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супервайзинг</w:t>
            </w:r>
            <w:proofErr w:type="spellEnd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запуск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1 643 846,4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1 643 846,4</w:t>
            </w:r>
          </w:p>
        </w:tc>
      </w:tr>
      <w:tr w:rsidR="00F71296" w:rsidRPr="00F71296" w:rsidTr="00F71296">
        <w:trPr>
          <w:trHeight w:val="300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Монтаж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</w:tr>
      <w:tr w:rsidR="00F71296" w:rsidRPr="00F71296" w:rsidTr="00F71296">
        <w:trPr>
          <w:trHeight w:val="210"/>
          <w:tblCellSpacing w:w="0" w:type="dxa"/>
        </w:trPr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Строительство хранилища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550,000.00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550,000.0</w:t>
            </w:r>
          </w:p>
        </w:tc>
      </w:tr>
    </w:tbl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Сроки и этапы реализации проекта.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Реализация проекта начинается с 20 января 2002 года, производственный цикл начинается с II квартала (апрель 2002 года).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Инвестиционные мероприятия по приобретению, доставке и монтажу оборудования будут осуществляться в первом году в период январь—март 2002 года, строительство хранилища в III квартале 2002 года (</w:t>
      </w:r>
      <w:proofErr w:type="gramStart"/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табл. 4.2.1.):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Сроки и этапы реализации проекта</w:t>
      </w:r>
    </w:p>
    <w:p w:rsidR="00F71296" w:rsidRPr="00F71296" w:rsidRDefault="00F71296" w:rsidP="00F7129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4.2.1</w:t>
      </w:r>
    </w:p>
    <w:p w:rsidR="00F71296" w:rsidRPr="00F71296" w:rsidRDefault="00F71296" w:rsidP="00F7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7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41"/>
        <w:gridCol w:w="1271"/>
        <w:gridCol w:w="1226"/>
        <w:gridCol w:w="1453"/>
        <w:gridCol w:w="1226"/>
        <w:gridCol w:w="2543"/>
      </w:tblGrid>
      <w:tr w:rsidR="00F71296" w:rsidRPr="00F71296" w:rsidTr="00556FFB">
        <w:trPr>
          <w:tblCellSpacing w:w="0" w:type="dxa"/>
        </w:trPr>
        <w:tc>
          <w:tcPr>
            <w:tcW w:w="22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2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Продолжи-тельность</w:t>
            </w:r>
            <w:proofErr w:type="spellEnd"/>
            <w:proofErr w:type="gramEnd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дн</w:t>
            </w:r>
            <w:proofErr w:type="spellEnd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71296" w:rsidRPr="00F71296" w:rsidTr="00556F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1296" w:rsidRPr="00F71296" w:rsidTr="00556FFB">
        <w:trPr>
          <w:trHeight w:val="360"/>
          <w:tblCellSpacing w:w="0" w:type="dxa"/>
        </w:trPr>
        <w:tc>
          <w:tcPr>
            <w:tcW w:w="9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Дата начала проекта: 10 января 2002 года</w:t>
            </w:r>
          </w:p>
        </w:tc>
      </w:tr>
      <w:tr w:rsidR="00F71296" w:rsidRPr="00F71296" w:rsidTr="00556FFB">
        <w:trPr>
          <w:trHeight w:val="180"/>
          <w:tblCellSpacing w:w="0" w:type="dxa"/>
        </w:trPr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Закупка оборудования и упаковочного материала</w:t>
            </w:r>
          </w:p>
        </w:tc>
        <w:tc>
          <w:tcPr>
            <w:tcW w:w="12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20.01.02</w:t>
            </w:r>
          </w:p>
        </w:tc>
        <w:tc>
          <w:tcPr>
            <w:tcW w:w="14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20.02.02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3 571 592,5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Инженер-механик</w:t>
            </w:r>
          </w:p>
        </w:tc>
      </w:tr>
      <w:tr w:rsidR="00F71296" w:rsidRPr="00F71296" w:rsidTr="00556FFB">
        <w:trPr>
          <w:trHeight w:val="180"/>
          <w:tblCellSpacing w:w="0" w:type="dxa"/>
        </w:trPr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Транспортировка оборудования до Москвы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420 757,3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1296" w:rsidRPr="00F71296" w:rsidRDefault="00F71296" w:rsidP="00F7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1296" w:rsidRPr="00F71296" w:rsidTr="00556FFB">
        <w:trPr>
          <w:trHeight w:val="435"/>
          <w:tblCellSpacing w:w="0" w:type="dxa"/>
        </w:trPr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Транспортировка оборудования до города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21.02.02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05.03.02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</w:tr>
      <w:tr w:rsidR="00F71296" w:rsidRPr="00F71296" w:rsidTr="00556FFB">
        <w:trPr>
          <w:trHeight w:val="180"/>
          <w:tblCellSpacing w:w="0" w:type="dxa"/>
        </w:trPr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Монтажные работы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06.03.02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30.03.02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1 693 846,4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Инженер-механик, рабочие</w:t>
            </w:r>
          </w:p>
        </w:tc>
      </w:tr>
      <w:tr w:rsidR="00F71296" w:rsidRPr="00F71296" w:rsidTr="00556FFB">
        <w:trPr>
          <w:trHeight w:val="180"/>
          <w:tblCellSpacing w:w="0" w:type="dxa"/>
        </w:trPr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Производство</w:t>
            </w:r>
          </w:p>
        </w:tc>
        <w:tc>
          <w:tcPr>
            <w:tcW w:w="39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Начало апреля 200х г. —</w:t>
            </w:r>
          </w:p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 март 200 (х+1) г.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Оператор-машинист (</w:t>
            </w:r>
            <w:proofErr w:type="spellStart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цеха)</w:t>
            </w:r>
          </w:p>
        </w:tc>
      </w:tr>
      <w:tr w:rsidR="00F71296" w:rsidRPr="00F71296" w:rsidTr="00556FFB">
        <w:trPr>
          <w:trHeight w:val="180"/>
          <w:tblCellSpacing w:w="0" w:type="dxa"/>
        </w:trPr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Строительство хранилища</w:t>
            </w:r>
          </w:p>
        </w:tc>
        <w:tc>
          <w:tcPr>
            <w:tcW w:w="39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Апрель-июль 2002 года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550 000,0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1296" w:rsidRPr="00F71296" w:rsidRDefault="00F71296" w:rsidP="00F71296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</w:tr>
      <w:tr w:rsidR="00F71296" w:rsidRPr="00F71296" w:rsidTr="00556FFB">
        <w:trPr>
          <w:trHeight w:val="165"/>
          <w:tblCellSpacing w:w="0" w:type="dxa"/>
        </w:trPr>
        <w:tc>
          <w:tcPr>
            <w:tcW w:w="9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1296" w:rsidRPr="00F71296" w:rsidRDefault="00F71296" w:rsidP="00F71296">
            <w:pPr>
              <w:spacing w:after="0" w:line="165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Дата окончания проекта: 30 марта 2006 года</w:t>
            </w:r>
          </w:p>
        </w:tc>
      </w:tr>
    </w:tbl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ПРОИЗВОДСТВЕННЫЙ ПЛАН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Технология производства комбикормов. Требования к организации производства.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Общий технологический цикл производства на заводе сводится к переработке (дроблению, размолу) зернового сырья, смешиванию его с мучнистым сырьем, премиксами и другими добавками, упаковки готовой продукции и отгрузки на склад. Дозирование и управление будет осуществляться программой через компьютер дозирования и администрации. Комбикормовый завод в первый год будет работать в одну смену, со I квартала 2002 года должен работать в две смены. Производительность завода характеризуется следующими цифрами (</w:t>
      </w:r>
      <w:proofErr w:type="gram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табл. 5.1.1.):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Основные характеристики комбикормового завода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5.1.1.</w:t>
      </w:r>
    </w:p>
    <w:p w:rsidR="00556FFB" w:rsidRPr="00556FFB" w:rsidRDefault="00556FFB" w:rsidP="0055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5"/>
        <w:gridCol w:w="5010"/>
      </w:tblGrid>
      <w:tr w:rsidR="00556FFB" w:rsidRPr="00556FFB" w:rsidTr="00556FFB">
        <w:trPr>
          <w:tblCellSpacing w:w="0" w:type="dxa"/>
        </w:trPr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556FFB" w:rsidRPr="00556FFB" w:rsidTr="00556FFB">
        <w:trPr>
          <w:tblCellSpacing w:w="0" w:type="dxa"/>
        </w:trPr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Производительность, </w:t>
            </w:r>
            <w:proofErr w:type="spellStart"/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56FFB" w:rsidRPr="00556FFB" w:rsidTr="00556FFB">
        <w:trPr>
          <w:tblCellSpacing w:w="0" w:type="dxa"/>
        </w:trPr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Продолжительность смены, час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56FFB" w:rsidRPr="00556FFB" w:rsidTr="00556FFB">
        <w:trPr>
          <w:tblCellSpacing w:w="0" w:type="dxa"/>
        </w:trPr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Расход электроэнергии, кВт/час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556FFB" w:rsidRPr="00556FFB" w:rsidTr="00556FFB">
        <w:trPr>
          <w:tblCellSpacing w:w="0" w:type="dxa"/>
        </w:trPr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Потери при дроблении </w:t>
            </w:r>
            <w:proofErr w:type="spellStart"/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зерносырья</w:t>
            </w:r>
            <w:proofErr w:type="spellEnd"/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</w:tbl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Требования к зданию: высота до свеса –4-5 м, количество этажей – 1, подвальное помещение не требуется.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Требования к рабочему персоналу (на 1 смену):</w:t>
      </w:r>
    </w:p>
    <w:p w:rsidR="00556FFB" w:rsidRPr="00556FFB" w:rsidRDefault="00556FFB" w:rsidP="00556FFB">
      <w:pPr>
        <w:numPr>
          <w:ilvl w:val="0"/>
          <w:numId w:val="14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начальник цеха — оператор-машинист 1 чел.;</w:t>
      </w:r>
    </w:p>
    <w:p w:rsidR="00556FFB" w:rsidRPr="00556FFB" w:rsidRDefault="00556FFB" w:rsidP="00556FFB">
      <w:pPr>
        <w:numPr>
          <w:ilvl w:val="0"/>
          <w:numId w:val="14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дозировщик по добавкам – 1 чел.;</w:t>
      </w:r>
    </w:p>
    <w:p w:rsidR="00556FFB" w:rsidRPr="00556FFB" w:rsidRDefault="00556FFB" w:rsidP="00556FFB">
      <w:pPr>
        <w:numPr>
          <w:ilvl w:val="0"/>
          <w:numId w:val="14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подсобный рабочий – 1 чел.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Программа производства, хранения и реализации продукции.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Программа производства рассчитана исходя из количества рабочих дней в каждом календарном году. Нерабочими считаются выходные дни (суббота и воскресенье) и праздничные (официальные праздники).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Распределение рабочего времени на производство каждого вида комбикорма следующее (</w:t>
      </w:r>
      <w:proofErr w:type="gram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%) </w:t>
      </w:r>
      <w:proofErr w:type="gram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общего количества часов работы: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поросят сосунов (до 2 мес.) — 15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поросят на </w:t>
      </w:r>
      <w:proofErr w:type="spell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доращивании</w:t>
      </w:r>
      <w:proofErr w:type="spell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(2-4 мес.) — 25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поросят на </w:t>
      </w:r>
      <w:proofErr w:type="spell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доращивании</w:t>
      </w:r>
      <w:proofErr w:type="spell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(4-6 мес.) — 25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Свиней на откорме (св. 6 мес.) — 15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супоросных свиноматок и хряков — 10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подсосных свиноматок — 10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производительности и количества времени загрузки для каждого вида комбикорма рассчитано количество в тоннах. Продукция транспортируется на склад, расположенный в 50 метрах от цеха. Реализация будет осуществляться со склада и вывозится средствами покупателя.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Численность работников, занятых в проекте и фонд оплаты труда.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Численность работников ЗАО СК «</w:t>
      </w:r>
      <w:proofErr w:type="spell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Силаевский</w:t>
      </w:r>
      <w:proofErr w:type="spell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занятых в реализации проекта составляет 13 человек, из них:</w:t>
      </w:r>
    </w:p>
    <w:p w:rsidR="00556FFB" w:rsidRPr="00556FFB" w:rsidRDefault="00556FFB" w:rsidP="00556FFB">
      <w:pPr>
        <w:numPr>
          <w:ilvl w:val="0"/>
          <w:numId w:val="15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Управленческий персонал 4 человека (директор-1, гл. бухгалтер-1, гл. специалист-1, лаборант — 1)</w:t>
      </w:r>
    </w:p>
    <w:p w:rsidR="00556FFB" w:rsidRPr="00556FFB" w:rsidRDefault="00556FFB" w:rsidP="00556FFB">
      <w:pPr>
        <w:numPr>
          <w:ilvl w:val="0"/>
          <w:numId w:val="15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Производственные рабочие на одну смену 3 человек (оператор-машинист-1, дозировщик по добавкам-1, подсобный рабочий — 1)</w:t>
      </w:r>
    </w:p>
    <w:p w:rsidR="00556FFB" w:rsidRPr="00556FFB" w:rsidRDefault="00556FFB" w:rsidP="00556FFB">
      <w:pPr>
        <w:numPr>
          <w:ilvl w:val="0"/>
          <w:numId w:val="15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Обслуживающий и вспомогательный персонал на 1 смену 6 человек (электрик-1, грузчик-2, водитель-1, охранник -4)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 и численность производственных рабочих, грузчиков и водителей во втором году увеличиться в 2 раза в связи с запуском второй смены, персонал АУП и охрана меняться не будут.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Размер фонда оплаты труда и динамика среднемесячной заработной платы каждого работника за каждый год отражены соответственно по годам. Расчет заработной платы во второй, третий и четвертый года производился с учётом индексов-дефляторов на оплату труда сельскохозяйственных работников.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Управленческий персонал, охранники и электрик работают по повременной форме оплате труда, т. е. для этих категорий установлены для начисления зарплаты ежемесячные оклады.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Оплата труда производственных рабочих, грузчиков и водителя осуществляется по сдельной форме.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Тариф рабочих установлен в зависимости от произведенных комбикормов (тонн)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Тариф</w:t>
      </w:r>
      <w:r w:rsidRPr="00556FF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56FFB">
        <w:rPr>
          <w:rFonts w:ascii="Verdana" w:eastAsia="Times New Roman" w:hAnsi="Verdana" w:cs="Times New Roman"/>
          <w:color w:val="336699"/>
          <w:sz w:val="18"/>
          <w:lang w:eastAsia="ru-RU"/>
        </w:rPr>
        <w:t>грузчиков</w:t>
      </w:r>
      <w:r w:rsidRPr="00556FF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установлен в зависимости от разгружаемого количества продукции (в тоннах)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Тариф водителя установлен в зависимости от перевозимого груза (</w:t>
      </w:r>
      <w:proofErr w:type="spell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тонно-км</w:t>
      </w:r>
      <w:proofErr w:type="spell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Тонно-км</w:t>
      </w:r>
      <w:proofErr w:type="spell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рассчитываются исходя из таких показателей как количество грузовиков, расстояние до конечного пункта и количества перевозимого груза за 1 рейс.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Прямые производственные затраты.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прямым производственным затратам производства комбикормов относятся:</w:t>
      </w:r>
    </w:p>
    <w:p w:rsidR="00556FFB" w:rsidRPr="00556FFB" w:rsidRDefault="00556FFB" w:rsidP="00556FFB">
      <w:pPr>
        <w:numPr>
          <w:ilvl w:val="0"/>
          <w:numId w:val="16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Сдельная заработная плата производственных рабочих</w:t>
      </w:r>
    </w:p>
    <w:p w:rsidR="00556FFB" w:rsidRPr="00556FFB" w:rsidRDefault="00556FFB" w:rsidP="00556FFB">
      <w:pPr>
        <w:numPr>
          <w:ilvl w:val="0"/>
          <w:numId w:val="16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Отчисления во внебюджетные фонды</w:t>
      </w:r>
    </w:p>
    <w:p w:rsidR="00556FFB" w:rsidRPr="00556FFB" w:rsidRDefault="00556FFB" w:rsidP="00556FFB">
      <w:pPr>
        <w:numPr>
          <w:ilvl w:val="0"/>
          <w:numId w:val="16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Стоимость сырья</w:t>
      </w:r>
    </w:p>
    <w:p w:rsidR="00556FFB" w:rsidRPr="00556FFB" w:rsidRDefault="00556FFB" w:rsidP="00556FFB">
      <w:pPr>
        <w:numPr>
          <w:ilvl w:val="0"/>
          <w:numId w:val="16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Электроэнергия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Потребность в сырье для каждого вида комбикорма определяется исходя из рецептуры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Стоимостная оценка определяется путем умножения требуемого количества каждого вида сырья на закупочную цену за одну единицу. Все прямые производственные затраты в стоимостном выражении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Так, по годам они составили: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год – 14 956 306,2 рублей;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год – 59 658 116,2 рублей;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 год – 63 300 050,9 рублей;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 год – 69 378 059,3 рублей.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собственности ЗАО СК «</w:t>
      </w:r>
      <w:proofErr w:type="spell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Силаевский</w:t>
      </w:r>
      <w:proofErr w:type="spell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имеются следующие основные фонды (с указанием количества и общей балансовой стоимости на начало проекта):</w:t>
      </w:r>
    </w:p>
    <w:p w:rsidR="00556FFB" w:rsidRPr="00556FFB" w:rsidRDefault="00556FFB" w:rsidP="00556FFB">
      <w:pPr>
        <w:numPr>
          <w:ilvl w:val="0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Здания и сооружения</w:t>
      </w:r>
    </w:p>
    <w:p w:rsidR="00556FFB" w:rsidRPr="00556FFB" w:rsidRDefault="00556FFB" w:rsidP="00556FFB">
      <w:pPr>
        <w:numPr>
          <w:ilvl w:val="1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Контора — 1; 112 251</w:t>
      </w:r>
    </w:p>
    <w:p w:rsidR="00556FFB" w:rsidRPr="00556FFB" w:rsidRDefault="00556FFB" w:rsidP="00556FFB">
      <w:pPr>
        <w:numPr>
          <w:ilvl w:val="1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Производственный цех – 1; 400 000,</w:t>
      </w:r>
    </w:p>
    <w:p w:rsidR="00556FFB" w:rsidRPr="00556FFB" w:rsidRDefault="00556FFB" w:rsidP="00556FFB">
      <w:pPr>
        <w:numPr>
          <w:ilvl w:val="1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Склад с навесом – 1; 65 437,0</w:t>
      </w:r>
    </w:p>
    <w:p w:rsidR="00556FFB" w:rsidRPr="00556FFB" w:rsidRDefault="00556FFB" w:rsidP="00556FFB">
      <w:pPr>
        <w:numPr>
          <w:ilvl w:val="1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Склад – 1; 211 828,0</w:t>
      </w:r>
    </w:p>
    <w:p w:rsidR="00556FFB" w:rsidRPr="00556FFB" w:rsidRDefault="00556FFB" w:rsidP="00556FFB">
      <w:pPr>
        <w:numPr>
          <w:ilvl w:val="0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Автотранспорт</w:t>
      </w:r>
    </w:p>
    <w:p w:rsidR="00556FFB" w:rsidRPr="00556FFB" w:rsidRDefault="00556FFB" w:rsidP="00556FFB">
      <w:pPr>
        <w:numPr>
          <w:ilvl w:val="1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А/машина «ГАЗ-53» — 1; 1 273,0</w:t>
      </w:r>
    </w:p>
    <w:p w:rsidR="00556FFB" w:rsidRPr="00556FFB" w:rsidRDefault="00556FFB" w:rsidP="00556FFB">
      <w:pPr>
        <w:numPr>
          <w:ilvl w:val="0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Оборудование</w:t>
      </w:r>
    </w:p>
    <w:p w:rsidR="00556FFB" w:rsidRPr="00556FFB" w:rsidRDefault="00556FFB" w:rsidP="00556FFB">
      <w:pPr>
        <w:numPr>
          <w:ilvl w:val="1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Комплекс оборудования — 1; 4 063 946,6</w:t>
      </w:r>
    </w:p>
    <w:p w:rsidR="00556FFB" w:rsidRPr="00556FFB" w:rsidRDefault="00556FFB" w:rsidP="00556FFB">
      <w:pPr>
        <w:numPr>
          <w:ilvl w:val="1"/>
          <w:numId w:val="17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Трактор МТЗ-85 – 2; 326 000,0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Амортизационные отчисления основных фондов за каждый год определяются путём умножения годовой нормы амортизации на балансовую стоимость с учётом переоценки в текущем году. Индексы переоценки во втором и третьем году на начало каждого года рассчитаны исходя из динамики индексов переоценки основных фондов за квартал за последние 4 года (</w:t>
      </w:r>
      <w:proofErr w:type="gram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табл. 5.3.2).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Индексы переоценки основных средств (в среднем за год)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5.3.2</w:t>
      </w:r>
    </w:p>
    <w:p w:rsidR="00556FFB" w:rsidRPr="00556FFB" w:rsidRDefault="00556FFB" w:rsidP="0055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8"/>
        <w:gridCol w:w="2282"/>
        <w:gridCol w:w="2101"/>
        <w:gridCol w:w="2249"/>
      </w:tblGrid>
      <w:tr w:rsidR="00556FFB" w:rsidRPr="00556FFB" w:rsidTr="00556FFB">
        <w:trPr>
          <w:tblCellSpacing w:w="0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Категория основных средств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год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год</w:t>
            </w:r>
          </w:p>
        </w:tc>
      </w:tr>
      <w:tr w:rsidR="00556FFB" w:rsidRPr="00556FFB" w:rsidTr="00556FFB">
        <w:trPr>
          <w:tblCellSpacing w:w="0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Здания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</w:tr>
      <w:tr w:rsidR="00556FFB" w:rsidRPr="00556FFB" w:rsidTr="00556FFB">
        <w:trPr>
          <w:tblCellSpacing w:w="0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А/транспорт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6FFB" w:rsidRPr="00556FFB" w:rsidTr="00556FFB">
        <w:trPr>
          <w:tblCellSpacing w:w="0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 легковой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</w:tr>
      <w:tr w:rsidR="00556FFB" w:rsidRPr="00556FFB" w:rsidTr="00556FFB">
        <w:trPr>
          <w:tblCellSpacing w:w="0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 грузовой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</w:tr>
      <w:tr w:rsidR="00556FFB" w:rsidRPr="00556FFB" w:rsidTr="00556FFB">
        <w:trPr>
          <w:tblCellSpacing w:w="0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FB" w:rsidRPr="00556FFB" w:rsidRDefault="00556FFB" w:rsidP="00556FFB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1,29</w:t>
            </w:r>
          </w:p>
        </w:tc>
      </w:tr>
    </w:tbl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Общепроизводственные и общехозяйственные расходы.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накладным расходам производства комбикормов относятся общепроизводственные (</w:t>
      </w:r>
      <w:proofErr w:type="gram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</w:t>
      </w:r>
      <w:proofErr w:type="gram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общехозяйственные расходы (ОХР) предприятия.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состав </w:t>
      </w:r>
      <w:proofErr w:type="gram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</w:t>
      </w:r>
      <w:proofErr w:type="gram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ОХР входят следующие затраты</w:t>
      </w:r>
    </w:p>
    <w:p w:rsidR="00556FFB" w:rsidRPr="00556FFB" w:rsidRDefault="00556FFB" w:rsidP="00556FFB">
      <w:pPr>
        <w:numPr>
          <w:ilvl w:val="0"/>
          <w:numId w:val="18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Оплата труда АУП и вспомогательных рабочих;</w:t>
      </w:r>
    </w:p>
    <w:p w:rsidR="00556FFB" w:rsidRPr="00556FFB" w:rsidRDefault="00556FFB" w:rsidP="00556FFB">
      <w:pPr>
        <w:numPr>
          <w:ilvl w:val="0"/>
          <w:numId w:val="18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Отчисления от заработной платы во внебюджетные фонды;</w:t>
      </w:r>
    </w:p>
    <w:p w:rsidR="00556FFB" w:rsidRPr="00556FFB" w:rsidRDefault="00556FFB" w:rsidP="00556FFB">
      <w:pPr>
        <w:numPr>
          <w:ilvl w:val="0"/>
          <w:numId w:val="18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Отпускные;</w:t>
      </w:r>
    </w:p>
    <w:p w:rsidR="00556FFB" w:rsidRPr="00556FFB" w:rsidRDefault="00556FFB" w:rsidP="00556FFB">
      <w:pPr>
        <w:numPr>
          <w:ilvl w:val="0"/>
          <w:numId w:val="18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Электроэнергия;</w:t>
      </w:r>
    </w:p>
    <w:p w:rsidR="00556FFB" w:rsidRPr="00556FFB" w:rsidRDefault="00556FFB" w:rsidP="00556FFB">
      <w:pPr>
        <w:numPr>
          <w:ilvl w:val="0"/>
          <w:numId w:val="18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ГСМ на транспортировку готовой продукции;</w:t>
      </w:r>
    </w:p>
    <w:p w:rsidR="00556FFB" w:rsidRPr="00556FFB" w:rsidRDefault="00556FFB" w:rsidP="00556FFB">
      <w:pPr>
        <w:numPr>
          <w:ilvl w:val="0"/>
          <w:numId w:val="18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Расходы на рекламу;</w:t>
      </w:r>
    </w:p>
    <w:p w:rsidR="00556FFB" w:rsidRPr="00556FFB" w:rsidRDefault="00556FFB" w:rsidP="00556FFB">
      <w:pPr>
        <w:numPr>
          <w:ilvl w:val="0"/>
          <w:numId w:val="18"/>
        </w:num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Прочие (5% от остальных расходов — расходы на транспортировку сырья).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Таким образом, общая сумма </w:t>
      </w:r>
      <w:proofErr w:type="gramStart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</w:t>
      </w:r>
      <w:proofErr w:type="gramEnd"/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ОХР за каждый год соответственно составила (в рублях):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год: 208 709,0; 2 год: 438 044,4; 3 год: 501 018,4; 4 год: 597 047,5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Сумма прямых и накладных затрат формируют полные производственные затраты, которые составили по годам (в рублях):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год – 15 165 015,2;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год — 60 096 160,5;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 год – 63 801 069;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 год – 69 975 106,8.</w:t>
      </w:r>
    </w:p>
    <w:p w:rsidR="00556FFB" w:rsidRPr="00556FFB" w:rsidRDefault="00556FFB" w:rsidP="00556FFB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13FC9" w:rsidRDefault="00C13FC9" w:rsidP="00C13FC9">
      <w:r>
        <w:t>6. ФИНАНСОВЫЙ ПЛАН</w:t>
      </w:r>
    </w:p>
    <w:p w:rsidR="00C13FC9" w:rsidRDefault="00C13FC9" w:rsidP="00C13FC9">
      <w:r>
        <w:t xml:space="preserve"> Объём и источники финансирования.</w:t>
      </w:r>
    </w:p>
    <w:p w:rsidR="00C13FC9" w:rsidRDefault="00C13FC9" w:rsidP="00C13FC9">
      <w:proofErr w:type="spellStart"/>
      <w:r>
        <w:t>ИсточСим</w:t>
      </w:r>
      <w:proofErr w:type="spellEnd"/>
      <w:r>
        <w:t xml:space="preserve"> финансирования первого года реализации проекта ЗАО СК «</w:t>
      </w:r>
      <w:proofErr w:type="spellStart"/>
      <w:r>
        <w:t>Силаевский</w:t>
      </w:r>
      <w:proofErr w:type="spellEnd"/>
      <w:r>
        <w:t>» является инвестиционный кредит фонда федеральной программы социально-экономического развития в размере 6 300 000 рублей.</w:t>
      </w:r>
    </w:p>
    <w:p w:rsidR="00C13FC9" w:rsidRDefault="00C13FC9" w:rsidP="00C13FC9">
      <w:r>
        <w:t>Условия предоставления кредита:</w:t>
      </w:r>
    </w:p>
    <w:p w:rsidR="00C13FC9" w:rsidRDefault="00C13FC9" w:rsidP="00C13FC9">
      <w:r>
        <w:t>Срок — 3 года (начало февраль 2002 года, конец – январь 2006 года);</w:t>
      </w:r>
    </w:p>
    <w:p w:rsidR="00C13FC9" w:rsidRDefault="00C13FC9" w:rsidP="00C13FC9">
      <w:r>
        <w:t xml:space="preserve">Процентная ставка кредита – 10 % </w:t>
      </w:r>
      <w:proofErr w:type="gramStart"/>
      <w:r>
        <w:t>годовых</w:t>
      </w:r>
      <w:proofErr w:type="gramEnd"/>
    </w:p>
    <w:p w:rsidR="00C13FC9" w:rsidRDefault="00C13FC9" w:rsidP="00C13FC9">
      <w:r>
        <w:t>Возврат основного долга – ежемесячно равными долями</w:t>
      </w:r>
    </w:p>
    <w:p w:rsidR="00C13FC9" w:rsidRDefault="00C13FC9" w:rsidP="00C13FC9">
      <w:r>
        <w:t>6 300 000/48 мес.=131 250,0 рублей</w:t>
      </w:r>
    </w:p>
    <w:p w:rsidR="00C13FC9" w:rsidRDefault="00C13FC9" w:rsidP="00C13FC9">
      <w:r>
        <w:t>Выплата процентов ежемесячно от суммы оставшегося долга на начало периода:</w:t>
      </w:r>
    </w:p>
    <w:p w:rsidR="00C13FC9" w:rsidRDefault="00C13FC9" w:rsidP="00C13FC9">
      <w:r>
        <w:t>Расчет суммы ежемесячных процентных выплат за пользование кредитом:</w:t>
      </w:r>
    </w:p>
    <w:p w:rsidR="00C13FC9" w:rsidRDefault="00C13FC9" w:rsidP="00C13FC9">
      <w:r>
        <w:t xml:space="preserve">% = К </w:t>
      </w:r>
      <w:proofErr w:type="spellStart"/>
      <w:r>
        <w:t>х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(%)/100/12, где</w:t>
      </w:r>
    </w:p>
    <w:p w:rsidR="00C13FC9" w:rsidRDefault="00C13FC9" w:rsidP="00C13FC9">
      <w:r>
        <w:t xml:space="preserve"> % — сумма выплат (руб.);</w:t>
      </w:r>
    </w:p>
    <w:p w:rsidR="00C13FC9" w:rsidRDefault="00C13FC9" w:rsidP="00C13FC9">
      <w:r>
        <w:t xml:space="preserve"> </w:t>
      </w:r>
      <w:proofErr w:type="gramStart"/>
      <w:r>
        <w:t>К</w:t>
      </w:r>
      <w:proofErr w:type="gramEnd"/>
      <w:r>
        <w:t xml:space="preserve"> – сумма основного долга на начало периода (руб.);</w:t>
      </w:r>
    </w:p>
    <w:p w:rsidR="00C13FC9" w:rsidRDefault="00C13FC9" w:rsidP="00C13FC9">
      <w:r>
        <w:t xml:space="preserve"> </w:t>
      </w:r>
      <w:proofErr w:type="spellStart"/>
      <w:r>
        <w:t>St</w:t>
      </w:r>
      <w:proofErr w:type="spellEnd"/>
      <w:r>
        <w:t xml:space="preserve"> – процентная ставка кредита</w:t>
      </w:r>
      <w:proofErr w:type="gramStart"/>
      <w:r>
        <w:t xml:space="preserve"> (%);</w:t>
      </w:r>
      <w:proofErr w:type="gramEnd"/>
    </w:p>
    <w:p w:rsidR="00C13FC9" w:rsidRDefault="00C13FC9" w:rsidP="00C13FC9">
      <w:r>
        <w:t xml:space="preserve"> 12– количество выплат в течение года (мес.);</w:t>
      </w:r>
    </w:p>
    <w:p w:rsidR="00C13FC9" w:rsidRDefault="00C13FC9" w:rsidP="00C13FC9">
      <w:r>
        <w:t xml:space="preserve">В соответствии с условиями предоставления кредита сумма процентных выплат составит по годам: </w:t>
      </w:r>
    </w:p>
    <w:p w:rsidR="00C13FC9" w:rsidRDefault="00C13FC9" w:rsidP="00C13FC9">
      <w:r>
        <w:t xml:space="preserve">1 год (февраль 2002 г. – январь 2003 г.): 557 812,5 рублей </w:t>
      </w:r>
    </w:p>
    <w:p w:rsidR="00C13FC9" w:rsidRDefault="00C13FC9" w:rsidP="00C13FC9">
      <w:r>
        <w:t>2 год (февраль 2003 г. – январь 2004 г.): 400 312,5 рублей</w:t>
      </w:r>
    </w:p>
    <w:p w:rsidR="00C13FC9" w:rsidRDefault="00C13FC9" w:rsidP="00C13FC9">
      <w:r>
        <w:t xml:space="preserve"> 3 год (февраль 2004 г. – январь 2005 г.): 242 812,5 рублей</w:t>
      </w:r>
    </w:p>
    <w:p w:rsidR="00C13FC9" w:rsidRDefault="00C13FC9" w:rsidP="00C13FC9">
      <w:r>
        <w:t xml:space="preserve"> 4 год (февраль 2005 г. – январь 2006г.): 85 312,5 рублей </w:t>
      </w:r>
    </w:p>
    <w:p w:rsidR="00C13FC9" w:rsidRDefault="00C13FC9" w:rsidP="00C13FC9"/>
    <w:p w:rsidR="00C13FC9" w:rsidRDefault="00C13FC9" w:rsidP="00C13FC9">
      <w:r>
        <w:lastRenderedPageBreak/>
        <w:t>ИТОГО за 4 года: 1 286 250,0 рублей</w:t>
      </w:r>
    </w:p>
    <w:p w:rsidR="00C13FC9" w:rsidRDefault="00C13FC9" w:rsidP="00C13FC9">
      <w:r>
        <w:t>Общая сумма выплат по кредиту за три года составит:</w:t>
      </w:r>
    </w:p>
    <w:p w:rsidR="00C13FC9" w:rsidRDefault="00C13FC9" w:rsidP="00C13FC9">
      <w:r>
        <w:t>основного долга – 6 300 000,0 рублей;</w:t>
      </w:r>
    </w:p>
    <w:p w:rsidR="00C13FC9" w:rsidRDefault="00C13FC9" w:rsidP="00C13FC9">
      <w:r>
        <w:t>процентов за пользование кредитом – 1 286 250,0 рублей.</w:t>
      </w:r>
    </w:p>
    <w:p w:rsidR="00C13FC9" w:rsidRDefault="00C13FC9" w:rsidP="00C13FC9">
      <w:r>
        <w:t>Назначение кредита: осуществление капитальных вложений (инвестиций).</w:t>
      </w:r>
    </w:p>
    <w:p w:rsidR="00C13FC9" w:rsidRDefault="00C13FC9" w:rsidP="00C13FC9">
      <w:r>
        <w:t>Капитализация в первом году возврата сумм основного долга, т.е. выплата этих сумм равными долями во втором-четвертом годах проекта.</w:t>
      </w:r>
    </w:p>
    <w:p w:rsidR="00C13FC9" w:rsidRPr="004C59F3" w:rsidRDefault="00C13FC9" w:rsidP="00C13FC9">
      <w:pPr>
        <w:rPr>
          <w:b/>
        </w:rPr>
      </w:pPr>
      <w:r w:rsidRPr="004C59F3">
        <w:rPr>
          <w:b/>
        </w:rPr>
        <w:t xml:space="preserve"> Финансовые результаты реализации проекта. </w:t>
      </w:r>
    </w:p>
    <w:p w:rsidR="00C13FC9" w:rsidRDefault="00C13FC9" w:rsidP="00C13FC9">
      <w:r>
        <w:t>Для того, чтобы определить насколько (не</w:t>
      </w:r>
      <w:proofErr w:type="gramStart"/>
      <w:r>
        <w:t>)э</w:t>
      </w:r>
      <w:proofErr w:type="gramEnd"/>
      <w:r>
        <w:t>ффективен проект, определяется прирост чистых выгод от его реализации, т.е. находится разница между чистыми выгодами, получаемыми от реализации проекта и чистыми выгодами в случае отказа от проекта. В ситуации «без проекта» все показатели равны нулю, так как предприятие строит новый завод.</w:t>
      </w:r>
    </w:p>
    <w:p w:rsidR="00C13FC9" w:rsidRDefault="00C13FC9" w:rsidP="00C13FC9">
      <w:r>
        <w:t>Таким образом, прирост чистых выгод равен значению чистых выгод:</w:t>
      </w:r>
    </w:p>
    <w:p w:rsidR="00C13FC9" w:rsidRDefault="00C13FC9" w:rsidP="00C13FC9">
      <w:r>
        <w:t>1 год: — 5 778 518,77 рублей;</w:t>
      </w:r>
    </w:p>
    <w:p w:rsidR="00C13FC9" w:rsidRDefault="00C13FC9" w:rsidP="00C13FC9">
      <w:r>
        <w:t>2 год: 2 470 697,32 рублей;</w:t>
      </w:r>
    </w:p>
    <w:p w:rsidR="00C13FC9" w:rsidRDefault="00C13FC9" w:rsidP="00C13FC9">
      <w:r>
        <w:t>3 год: 4 397 480,38 рублей;</w:t>
      </w:r>
    </w:p>
    <w:p w:rsidR="00C13FC9" w:rsidRDefault="00C13FC9" w:rsidP="00C13FC9">
      <w:r>
        <w:t>4 год: 4 038 206,96 рублей.</w:t>
      </w:r>
    </w:p>
    <w:p w:rsidR="00C13FC9" w:rsidRDefault="00C13FC9" w:rsidP="00C13FC9">
      <w:r>
        <w:t>Нарастающим итогом прирост чистых выгод составит:</w:t>
      </w:r>
    </w:p>
    <w:p w:rsidR="00C13FC9" w:rsidRDefault="00C13FC9" w:rsidP="00C13FC9">
      <w:r>
        <w:t>Год: — 5 778 518,77 рублей;</w:t>
      </w:r>
    </w:p>
    <w:p w:rsidR="00C13FC9" w:rsidRDefault="00C13FC9" w:rsidP="00C13FC9">
      <w:r>
        <w:t>Год: — 3 307 821,45 рублей;</w:t>
      </w:r>
    </w:p>
    <w:p w:rsidR="00C13FC9" w:rsidRDefault="00C13FC9" w:rsidP="00C13FC9">
      <w:r>
        <w:t>Год: 1 089 658,93 рублей;</w:t>
      </w:r>
    </w:p>
    <w:p w:rsidR="00C13FC9" w:rsidRDefault="00C13FC9" w:rsidP="00C13FC9">
      <w:r>
        <w:t>Год: 5 127 865,89 рублей.</w:t>
      </w:r>
    </w:p>
    <w:p w:rsidR="00C13FC9" w:rsidRDefault="00C13FC9" w:rsidP="00C13FC9">
      <w:r>
        <w:t>При расчете чистых выгод от реализации проекта в первый год сумма капитальных вложений (капитальные затраты вычитаются от поступлений по проекту). Амортизационные отчисления при инвестиционном анализе являются приростом капитала и слаживаются с поступлениями, т.е. выручкой от реализации продукции по проекту.</w:t>
      </w:r>
    </w:p>
    <w:p w:rsidR="00C13FC9" w:rsidRDefault="00C13FC9" w:rsidP="00C13FC9">
      <w:r>
        <w:t xml:space="preserve">Если проект будет профинансирован на сумму 6 300 000,0 рублей, то показатель NPV составит 3 769 134,5 рублей, что является критерием реализуемости проекта, т. е. при осуществлении инвестиций уже во втором году и в последующие годы реализации проекта будет получена выгода. Внутренняя норма рентабельности (IRR) проекта составит 36%. </w:t>
      </w:r>
    </w:p>
    <w:p w:rsidR="00C13FC9" w:rsidRDefault="00C13FC9" w:rsidP="00C13FC9">
      <w:r>
        <w:t xml:space="preserve">Показатель рентабельности инвестиций проекта составит 51,5%, что также свидетельствует о высокой рентабельности осуществления инвестиций. </w:t>
      </w:r>
    </w:p>
    <w:p w:rsidR="00C13FC9" w:rsidRDefault="00C13FC9" w:rsidP="00C13FC9">
      <w:r>
        <w:t>Эффективность инвестиций составит 46,7%</w:t>
      </w:r>
    </w:p>
    <w:p w:rsidR="00C13FC9" w:rsidRDefault="00C13FC9" w:rsidP="00C13FC9">
      <w:r>
        <w:lastRenderedPageBreak/>
        <w:t xml:space="preserve"> Срок окупаемости проекта с момента ввода в эксплуатацию составит</w:t>
      </w:r>
      <w:proofErr w:type="gramStart"/>
      <w:r>
        <w:t>1</w:t>
      </w:r>
      <w:proofErr w:type="gramEnd"/>
      <w:r>
        <w:t xml:space="preserve">,74 отчетного периода, т.е. года или 1 год и 9 месяцев. С учетом дисконтирования срок окупаемости равен 3 годам, т.е. затраты по проекту окупятся в третьем году. </w:t>
      </w:r>
    </w:p>
    <w:p w:rsidR="00C13FC9" w:rsidRDefault="00C13FC9" w:rsidP="00C13FC9">
      <w:r>
        <w:t>На Рис. 6.2.1 показаны графики прироста чистых выгод по каждому году, нарастающим итогом, с учетом дисконтирования в каждом году и с учетом дисконтирования нарастающим итогом, т.е. NPV.</w:t>
      </w:r>
    </w:p>
    <w:p w:rsidR="00C13FC9" w:rsidRDefault="00C13FC9" w:rsidP="00C13FC9">
      <w:r>
        <w:t>Денежные потоки проекта.</w:t>
      </w:r>
    </w:p>
    <w:p w:rsidR="00C13FC9" w:rsidRDefault="00C13FC9" w:rsidP="00C13FC9">
      <w:r>
        <w:t>Денежные потоки проекта за определённый период составляют поступления и выплаты в этом периоде, разница между которыми есть сальдо денежных средств на конец периода.</w:t>
      </w:r>
    </w:p>
    <w:p w:rsidR="00C13FC9" w:rsidRDefault="00C13FC9" w:rsidP="00C13FC9">
      <w:r>
        <w:t xml:space="preserve"> К поступлениям по проекту относятся:</w:t>
      </w:r>
    </w:p>
    <w:p w:rsidR="00C13FC9" w:rsidRDefault="00C13FC9" w:rsidP="00C13FC9">
      <w:r>
        <w:t>Выручка от реализации продукции;</w:t>
      </w:r>
    </w:p>
    <w:p w:rsidR="00C13FC9" w:rsidRDefault="00C13FC9" w:rsidP="00C13FC9">
      <w:r>
        <w:t>Поступление суммы кредита.</w:t>
      </w:r>
    </w:p>
    <w:p w:rsidR="00C13FC9" w:rsidRDefault="00C13FC9" w:rsidP="00C13FC9">
      <w:r>
        <w:t>К выплатам относятся:</w:t>
      </w:r>
    </w:p>
    <w:p w:rsidR="00C13FC9" w:rsidRDefault="00C13FC9" w:rsidP="00C13FC9">
      <w:r>
        <w:t>Оплата производственных затрат, в том числе:</w:t>
      </w:r>
    </w:p>
    <w:p w:rsidR="00C13FC9" w:rsidRDefault="00C13FC9" w:rsidP="00C13FC9">
      <w:r>
        <w:t>заработная плата работающих всех категорий;</w:t>
      </w:r>
    </w:p>
    <w:p w:rsidR="00C13FC9" w:rsidRDefault="00C13FC9" w:rsidP="00C13FC9">
      <w:r>
        <w:t>приобретение ГСМ, сырья, оплата за электроэнергию (в т.ч. НДС), прочие расходы;</w:t>
      </w:r>
    </w:p>
    <w:p w:rsidR="00C13FC9" w:rsidRDefault="00C13FC9" w:rsidP="00C13FC9">
      <w:r>
        <w:t>инвестиционные затраты;</w:t>
      </w:r>
    </w:p>
    <w:p w:rsidR="00C13FC9" w:rsidRDefault="00C13FC9" w:rsidP="00C13FC9">
      <w:r>
        <w:t>погашение основного долга по кредиту и выплата процентов за пользование кредитом;</w:t>
      </w:r>
    </w:p>
    <w:p w:rsidR="00C13FC9" w:rsidRDefault="00C13FC9" w:rsidP="00C13FC9">
      <w:r>
        <w:t>налоговые выплаты:</w:t>
      </w:r>
    </w:p>
    <w:p w:rsidR="00C13FC9" w:rsidRDefault="00C13FC9" w:rsidP="00C13FC9">
      <w:r>
        <w:t>в первый год – 56 114,4 рублей;</w:t>
      </w:r>
    </w:p>
    <w:p w:rsidR="00C13FC9" w:rsidRDefault="00C13FC9" w:rsidP="00C13FC9">
      <w:r>
        <w:t>во второй год – 168 651,9 рублей;</w:t>
      </w:r>
    </w:p>
    <w:p w:rsidR="00C13FC9" w:rsidRDefault="00C13FC9" w:rsidP="00C13FC9">
      <w:r>
        <w:t>в третий год – 197 360,6 рублей;</w:t>
      </w:r>
    </w:p>
    <w:p w:rsidR="00C13FC9" w:rsidRDefault="00C13FC9" w:rsidP="00C13FC9">
      <w:r>
        <w:t>в четвертый год – 241 700,2 рублей.</w:t>
      </w:r>
    </w:p>
    <w:p w:rsidR="00C13FC9" w:rsidRDefault="00C13FC9" w:rsidP="00C13FC9">
      <w:r>
        <w:t>Сальдо денежных средств ЗАО СК «</w:t>
      </w:r>
      <w:proofErr w:type="spellStart"/>
      <w:r>
        <w:t>Силаевский</w:t>
      </w:r>
      <w:proofErr w:type="spellEnd"/>
      <w:r>
        <w:t>» на начало и конец каждого периода реализации проекта составят:</w:t>
      </w:r>
    </w:p>
    <w:p w:rsidR="00C13FC9" w:rsidRDefault="00C13FC9" w:rsidP="00C13FC9">
      <w:r>
        <w:t>Первый год – 0,0 рублей; 1 266 111,6 рублей;</w:t>
      </w:r>
    </w:p>
    <w:p w:rsidR="00C13FC9" w:rsidRDefault="00C13FC9" w:rsidP="00C13FC9">
      <w:r>
        <w:t>Второй год – 1 266 111,6 рублей; 7 363 489,1 рублей;</w:t>
      </w:r>
    </w:p>
    <w:p w:rsidR="00C13FC9" w:rsidRDefault="00C13FC9" w:rsidP="00C13FC9">
      <w:r>
        <w:t>Третий год – 7 363 489,1 рублей; 16 010 795,6 рублей;</w:t>
      </w:r>
    </w:p>
    <w:p w:rsidR="00335A7C" w:rsidRDefault="00C13FC9" w:rsidP="00C13FC9">
      <w:r>
        <w:t>Четвертый год – 16 010 795,6 рублей; 24 962 758,0 рублей.</w:t>
      </w:r>
    </w:p>
    <w:sectPr w:rsidR="00335A7C" w:rsidSect="0033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3BB"/>
    <w:multiLevelType w:val="multilevel"/>
    <w:tmpl w:val="F05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D2FB8"/>
    <w:multiLevelType w:val="multilevel"/>
    <w:tmpl w:val="B4F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16FFB"/>
    <w:multiLevelType w:val="multilevel"/>
    <w:tmpl w:val="62F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10889"/>
    <w:multiLevelType w:val="multilevel"/>
    <w:tmpl w:val="7FA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C4A25"/>
    <w:multiLevelType w:val="multilevel"/>
    <w:tmpl w:val="4A7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31F05"/>
    <w:multiLevelType w:val="multilevel"/>
    <w:tmpl w:val="6EC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1336A"/>
    <w:multiLevelType w:val="multilevel"/>
    <w:tmpl w:val="6242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57F0"/>
    <w:multiLevelType w:val="multilevel"/>
    <w:tmpl w:val="BF10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2649C"/>
    <w:multiLevelType w:val="multilevel"/>
    <w:tmpl w:val="F456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D3068"/>
    <w:multiLevelType w:val="multilevel"/>
    <w:tmpl w:val="8116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5112E"/>
    <w:multiLevelType w:val="multilevel"/>
    <w:tmpl w:val="8866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E656E"/>
    <w:multiLevelType w:val="multilevel"/>
    <w:tmpl w:val="169A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83B86"/>
    <w:multiLevelType w:val="multilevel"/>
    <w:tmpl w:val="6B38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F43F1"/>
    <w:multiLevelType w:val="multilevel"/>
    <w:tmpl w:val="8142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E3EB1"/>
    <w:multiLevelType w:val="multilevel"/>
    <w:tmpl w:val="A2F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25C33"/>
    <w:multiLevelType w:val="multilevel"/>
    <w:tmpl w:val="CF7C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C7A0B"/>
    <w:multiLevelType w:val="multilevel"/>
    <w:tmpl w:val="924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F6A9F"/>
    <w:multiLevelType w:val="multilevel"/>
    <w:tmpl w:val="2A28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5"/>
  </w:num>
  <w:num w:numId="15">
    <w:abstractNumId w:val="15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2E"/>
    <w:rsid w:val="0009267C"/>
    <w:rsid w:val="00151D0D"/>
    <w:rsid w:val="00160B2E"/>
    <w:rsid w:val="00335A7C"/>
    <w:rsid w:val="00382BC8"/>
    <w:rsid w:val="004C59F3"/>
    <w:rsid w:val="00551744"/>
    <w:rsid w:val="00556FFB"/>
    <w:rsid w:val="005C5DF7"/>
    <w:rsid w:val="00AA1941"/>
    <w:rsid w:val="00C13FC9"/>
    <w:rsid w:val="00E30B2C"/>
    <w:rsid w:val="00F40991"/>
    <w:rsid w:val="00F7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4"/>
  </w:style>
  <w:style w:type="paragraph" w:styleId="1">
    <w:name w:val="heading 1"/>
    <w:basedOn w:val="a"/>
    <w:link w:val="10"/>
    <w:uiPriority w:val="9"/>
    <w:qFormat/>
    <w:rsid w:val="00551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1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0B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B2E"/>
    <w:rPr>
      <w:b/>
      <w:bCs/>
    </w:rPr>
  </w:style>
  <w:style w:type="character" w:customStyle="1" w:styleId="apple-converted-space">
    <w:name w:val="apple-converted-space"/>
    <w:basedOn w:val="a0"/>
    <w:rsid w:val="00160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0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03306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kz.ru/novosti/33-cena.html" TargetMode="External"/><Relationship Id="rId5" Type="http://schemas.openxmlformats.org/officeDocument/2006/relationships/hyperlink" Target="http://www.ecoskm.ru/main.php?p=kombik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3755</Words>
  <Characters>24186</Characters>
  <Application>Microsoft Office Word</Application>
  <DocSecurity>0</DocSecurity>
  <Lines>409</Lines>
  <Paragraphs>158</Paragraphs>
  <ScaleCrop>false</ScaleCrop>
  <Company>Microsoft</Company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Ivan</cp:lastModifiedBy>
  <cp:revision>2</cp:revision>
  <dcterms:created xsi:type="dcterms:W3CDTF">2015-11-19T11:26:00Z</dcterms:created>
  <dcterms:modified xsi:type="dcterms:W3CDTF">2015-11-19T11:26:00Z</dcterms:modified>
</cp:coreProperties>
</file>